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784" w14:textId="77777777" w:rsidR="000115F6" w:rsidRDefault="000115F6" w:rsidP="000115F6">
      <w:pPr>
        <w:rPr>
          <w:rFonts w:eastAsia="MS Mincho"/>
        </w:rPr>
      </w:pPr>
      <w:r>
        <w:rPr>
          <w:rFonts w:eastAsia="MS Mincho"/>
          <w:b/>
          <w:bCs/>
        </w:rPr>
        <w:t>Students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5121(a)</w:t>
      </w:r>
    </w:p>
    <w:p w14:paraId="7990BE79" w14:textId="77777777" w:rsidR="000115F6" w:rsidRDefault="000115F6" w:rsidP="000115F6">
      <w:pPr>
        <w:rPr>
          <w:rFonts w:eastAsia="MS Mincho"/>
        </w:rPr>
      </w:pPr>
    </w:p>
    <w:p w14:paraId="40E81AE6" w14:textId="77777777" w:rsidR="000115F6" w:rsidRDefault="000115F6" w:rsidP="000115F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GRADES/EVALUATION OF STUDENT ACHIEVEMENT</w:t>
      </w:r>
    </w:p>
    <w:p w14:paraId="36AFE329" w14:textId="77777777" w:rsidR="000115F6" w:rsidRDefault="000115F6" w:rsidP="000115F6">
      <w:pPr>
        <w:rPr>
          <w:rFonts w:eastAsia="MS Mincho"/>
        </w:rPr>
      </w:pPr>
    </w:p>
    <w:p w14:paraId="14AA6C4C" w14:textId="77777777" w:rsidR="000115F6" w:rsidRDefault="000115F6" w:rsidP="000115F6">
      <w:pPr>
        <w:rPr>
          <w:rFonts w:eastAsia="MS Mincho"/>
        </w:rPr>
      </w:pPr>
      <w:r>
        <w:rPr>
          <w:rFonts w:eastAsia="MS Mincho"/>
        </w:rPr>
        <w:t>The Governing Board believes that grades serve a valuable instructional purpose by helping students and parents/guardians identify the student’s areas of strength and those areas needing improvement.  Parents/guardians and students have the right to receive course grades that represent an accurate evaluation of the student’s achievement.</w:t>
      </w:r>
    </w:p>
    <w:p w14:paraId="69094F43" w14:textId="77777777" w:rsidR="000115F6" w:rsidRDefault="000115F6" w:rsidP="000115F6">
      <w:pPr>
        <w:rPr>
          <w:rFonts w:eastAsia="MS Mincho"/>
        </w:rPr>
      </w:pPr>
    </w:p>
    <w:p w14:paraId="073310B1" w14:textId="5584A399" w:rsidR="000115F6" w:rsidRDefault="000115F6" w:rsidP="000115F6">
      <w:pPr>
        <w:rPr>
          <w:rFonts w:eastAsia="MS Mincho"/>
        </w:rPr>
      </w:pPr>
      <w:r>
        <w:rPr>
          <w:rFonts w:eastAsia="MS Mincho"/>
        </w:rPr>
        <w:t xml:space="preserve">The teacher of each course shall determine the student’s grade. The grade assigned by the teacher shall not be changed by the Board or 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except as provided by law, Board policy and administrative regulation.  (Education Code 49066)</w:t>
      </w:r>
    </w:p>
    <w:p w14:paraId="4D1415D7" w14:textId="77777777" w:rsidR="000115F6" w:rsidRDefault="000115F6" w:rsidP="000115F6">
      <w:pPr>
        <w:rPr>
          <w:rFonts w:eastAsia="MS Mincho"/>
        </w:rPr>
      </w:pPr>
    </w:p>
    <w:p w14:paraId="1696B425" w14:textId="77777777" w:rsidR="000115F6" w:rsidRDefault="000115F6" w:rsidP="000115F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5125.3 - Challenging Student Records)</w:t>
      </w:r>
    </w:p>
    <w:p w14:paraId="2E89BD85" w14:textId="77777777" w:rsidR="000115F6" w:rsidRDefault="000115F6" w:rsidP="000115F6">
      <w:pPr>
        <w:rPr>
          <w:rFonts w:eastAsia="MS Mincho"/>
          <w:i/>
          <w:sz w:val="20"/>
        </w:rPr>
      </w:pPr>
    </w:p>
    <w:p w14:paraId="75385521" w14:textId="77777777" w:rsidR="000115F6" w:rsidRDefault="000115F6" w:rsidP="000115F6">
      <w:pPr>
        <w:rPr>
          <w:rFonts w:eastAsia="MS Mincho"/>
        </w:rPr>
      </w:pPr>
      <w:r>
        <w:rPr>
          <w:rFonts w:eastAsia="MS Mincho"/>
        </w:rPr>
        <w:t>Grades for achievement shall be reported for each marking period.</w:t>
      </w:r>
    </w:p>
    <w:p w14:paraId="0D26CD93" w14:textId="77777777" w:rsidR="000115F6" w:rsidRDefault="000115F6" w:rsidP="000115F6">
      <w:pPr>
        <w:rPr>
          <w:rFonts w:eastAsia="MS Mincho"/>
        </w:rPr>
      </w:pPr>
    </w:p>
    <w:p w14:paraId="24A93A2D" w14:textId="33C6F8FE" w:rsidR="000115F6" w:rsidRDefault="000115F6" w:rsidP="000115F6">
      <w:pPr>
        <w:rPr>
          <w:rFonts w:eastAsia="MS Mincho"/>
        </w:rPr>
      </w:pPr>
      <w:r>
        <w:rPr>
          <w:rFonts w:eastAsia="MS Mincho"/>
        </w:rPr>
        <w:t xml:space="preserve">Teachers shall evaluate a student’s work in relation to standards which apply to all students at his/her grade level.  The Executive Director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shall establish and regularly evaluate a uniform grading </w:t>
      </w:r>
      <w:proofErr w:type="gramStart"/>
      <w:r>
        <w:rPr>
          <w:rFonts w:eastAsia="MS Mincho"/>
        </w:rPr>
        <w:t>system, and</w:t>
      </w:r>
      <w:proofErr w:type="gramEnd"/>
      <w:r>
        <w:rPr>
          <w:rFonts w:eastAsia="MS Mincho"/>
        </w:rPr>
        <w:t xml:space="preserve"> shall ensure that student grades conform to this system. Teachers shall inform students and parents/guardians how student achievement will be evaluated in the classroom.</w:t>
      </w:r>
    </w:p>
    <w:p w14:paraId="53BDDB62" w14:textId="77777777" w:rsidR="000115F6" w:rsidRDefault="000115F6" w:rsidP="000115F6">
      <w:pPr>
        <w:rPr>
          <w:rFonts w:eastAsia="MS Mincho"/>
          <w:i/>
          <w:sz w:val="20"/>
        </w:rPr>
      </w:pPr>
    </w:p>
    <w:p w14:paraId="35962C73" w14:textId="77777777" w:rsidR="000115F6" w:rsidRDefault="000115F6" w:rsidP="000115F6">
      <w:pPr>
        <w:rPr>
          <w:rFonts w:eastAsia="MS Mincho"/>
        </w:rPr>
      </w:pPr>
      <w:r>
        <w:rPr>
          <w:rFonts w:eastAsia="MS Mincho"/>
        </w:rPr>
        <w:t xml:space="preserve">Grades should be based on impartial, consistent observation of the quality of the student’s work and his/her mastery of course content and objectives. Students shall have the opportunity to demonstrate this mastery through a variety of methods such as classroom participation, homework, </w:t>
      </w:r>
      <w:proofErr w:type="gramStart"/>
      <w:r>
        <w:rPr>
          <w:rFonts w:eastAsia="MS Mincho"/>
        </w:rPr>
        <w:t>tests</w:t>
      </w:r>
      <w:proofErr w:type="gramEnd"/>
      <w:r>
        <w:rPr>
          <w:rFonts w:eastAsia="MS Mincho"/>
        </w:rPr>
        <w:t xml:space="preserve"> and portfolios.</w:t>
      </w:r>
    </w:p>
    <w:p w14:paraId="5D33F631" w14:textId="77777777" w:rsidR="000115F6" w:rsidRDefault="000115F6" w:rsidP="000115F6">
      <w:pPr>
        <w:rPr>
          <w:rFonts w:eastAsia="MS Mincho"/>
        </w:rPr>
      </w:pPr>
    </w:p>
    <w:p w14:paraId="2D789B68" w14:textId="77777777" w:rsidR="000115F6" w:rsidRDefault="000115F6" w:rsidP="000115F6">
      <w:pPr>
        <w:rPr>
          <w:rFonts w:eastAsia="MS Mincho"/>
        </w:rPr>
      </w:pPr>
      <w:r>
        <w:rPr>
          <w:rFonts w:eastAsia="MS Mincho"/>
        </w:rPr>
        <w:t xml:space="preserve">When reporting student grades to parents/guardians, teachers may add narrative descriptions, observational notes and/or samples of classroom work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better describe student progress in specific skills and subcategories of achievement.</w:t>
      </w:r>
    </w:p>
    <w:p w14:paraId="06EEA3F3" w14:textId="77777777" w:rsidR="000115F6" w:rsidRDefault="000115F6" w:rsidP="000115F6">
      <w:pPr>
        <w:rPr>
          <w:rFonts w:eastAsia="MS Mincho"/>
        </w:rPr>
      </w:pPr>
    </w:p>
    <w:p w14:paraId="0C14597A" w14:textId="77777777" w:rsidR="000115F6" w:rsidRDefault="000115F6" w:rsidP="000115F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Unexcused Absences</w:t>
      </w:r>
    </w:p>
    <w:p w14:paraId="03B959A4" w14:textId="77777777" w:rsidR="000115F6" w:rsidRDefault="000115F6" w:rsidP="000115F6">
      <w:pPr>
        <w:rPr>
          <w:rFonts w:eastAsia="MS Mincho"/>
        </w:rPr>
      </w:pPr>
    </w:p>
    <w:p w14:paraId="78B0A485" w14:textId="77777777" w:rsidR="000115F6" w:rsidRDefault="000115F6" w:rsidP="000115F6">
      <w:pPr>
        <w:rPr>
          <w:rFonts w:eastAsia="MS Mincho"/>
        </w:rPr>
      </w:pPr>
      <w:r>
        <w:rPr>
          <w:rFonts w:eastAsia="MS Mincho"/>
        </w:rPr>
        <w:t xml:space="preserve">If a student </w:t>
      </w:r>
      <w:proofErr w:type="gramStart"/>
      <w:r>
        <w:rPr>
          <w:rFonts w:eastAsia="MS Mincho"/>
        </w:rPr>
        <w:t>misses</w:t>
      </w:r>
      <w:proofErr w:type="gramEnd"/>
      <w:r>
        <w:rPr>
          <w:rFonts w:eastAsia="MS Mincho"/>
        </w:rPr>
        <w:t xml:space="preserve"> class without an excuse and does not subsequently turn in assignments or make-up work, take a test or fulfill another class requirement which he/she missed, the teacher may lower the student’s grade for nonperformance.</w:t>
      </w:r>
    </w:p>
    <w:p w14:paraId="2BA46825" w14:textId="77777777" w:rsidR="000115F6" w:rsidRDefault="000115F6" w:rsidP="000115F6">
      <w:pPr>
        <w:rPr>
          <w:rFonts w:eastAsia="MS Mincho"/>
        </w:rPr>
      </w:pPr>
    </w:p>
    <w:p w14:paraId="5D3C2796" w14:textId="77777777" w:rsidR="000115F6" w:rsidRDefault="000115F6" w:rsidP="000115F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6154 - Homework/Makeup Work)</w:t>
      </w:r>
    </w:p>
    <w:p w14:paraId="67C77EA8" w14:textId="77777777" w:rsidR="000115F6" w:rsidRDefault="000115F6" w:rsidP="000115F6">
      <w:pPr>
        <w:rPr>
          <w:rFonts w:eastAsia="MS Mincho"/>
        </w:rPr>
      </w:pPr>
    </w:p>
    <w:p w14:paraId="6B52D2B6" w14:textId="77777777" w:rsidR="000115F6" w:rsidRDefault="000115F6" w:rsidP="000115F6">
      <w:pPr>
        <w:rPr>
          <w:rFonts w:eastAsia="MS Mincho"/>
        </w:rPr>
      </w:pPr>
    </w:p>
    <w:p w14:paraId="636A8E98" w14:textId="77777777" w:rsidR="000115F6" w:rsidRDefault="000115F6" w:rsidP="000115F6">
      <w:pPr>
        <w:rPr>
          <w:rFonts w:eastAsia="MS Mincho"/>
        </w:rPr>
      </w:pPr>
    </w:p>
    <w:p w14:paraId="09ED4E70" w14:textId="77777777" w:rsidR="000115F6" w:rsidRDefault="000115F6" w:rsidP="000115F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 (see next page)</w:t>
      </w:r>
    </w:p>
    <w:p w14:paraId="6FE6E3C5" w14:textId="77777777" w:rsidR="000115F6" w:rsidRDefault="000115F6" w:rsidP="000115F6">
      <w:pPr>
        <w:rPr>
          <w:rFonts w:eastAsia="MS Mincho"/>
        </w:rPr>
      </w:pPr>
    </w:p>
    <w:p w14:paraId="20159EC7" w14:textId="77777777" w:rsidR="000115F6" w:rsidRDefault="000115F6" w:rsidP="000115F6">
      <w:pPr>
        <w:rPr>
          <w:rFonts w:eastAsia="MS Mincho"/>
        </w:rPr>
      </w:pPr>
      <w:r>
        <w:rPr>
          <w:rFonts w:eastAsia="MS Mincho"/>
        </w:rPr>
        <w:tab/>
      </w:r>
    </w:p>
    <w:p w14:paraId="54B716AF" w14:textId="77777777" w:rsidR="000115F6" w:rsidRDefault="000115F6" w:rsidP="000115F6">
      <w:pPr>
        <w:rPr>
          <w:rFonts w:eastAsia="MS Mincho"/>
        </w:rPr>
      </w:pPr>
    </w:p>
    <w:p w14:paraId="5CDCEFAA" w14:textId="77777777" w:rsidR="000115F6" w:rsidRDefault="000115F6" w:rsidP="000115F6">
      <w:pPr>
        <w:rPr>
          <w:rFonts w:eastAsia="MS Mincho"/>
        </w:rPr>
      </w:pPr>
    </w:p>
    <w:p w14:paraId="07BCE88B" w14:textId="22E32759" w:rsidR="000115F6" w:rsidRDefault="000115F6" w:rsidP="000115F6">
      <w:pPr>
        <w:rPr>
          <w:rFonts w:eastAsia="MS Mincho"/>
        </w:rPr>
      </w:pPr>
      <w:r>
        <w:rPr>
          <w:rFonts w:eastAsia="MS Mincho"/>
        </w:rPr>
        <w:lastRenderedPageBreak/>
        <w:tab/>
      </w:r>
      <w:r>
        <w:rPr>
          <w:rFonts w:eastAsia="MS Mincho"/>
        </w:rPr>
        <w:t>BP 5121(b)</w:t>
      </w:r>
    </w:p>
    <w:p w14:paraId="118EA5F2" w14:textId="77777777" w:rsidR="000115F6" w:rsidRDefault="000115F6" w:rsidP="000115F6">
      <w:pPr>
        <w:rPr>
          <w:rFonts w:eastAsia="MS Mincho"/>
        </w:rPr>
      </w:pPr>
    </w:p>
    <w:p w14:paraId="2880E698" w14:textId="77777777" w:rsidR="000115F6" w:rsidRDefault="000115F6" w:rsidP="000115F6">
      <w:pPr>
        <w:rPr>
          <w:rFonts w:eastAsia="MS Mincho"/>
        </w:rPr>
      </w:pPr>
      <w:r>
        <w:rPr>
          <w:rFonts w:eastAsia="MS Mincho"/>
          <w:b/>
          <w:bCs/>
        </w:rPr>
        <w:t xml:space="preserve">GRADES/EVALUATION OF STUDENT </w:t>
      </w:r>
      <w:proofErr w:type="gramStart"/>
      <w:r>
        <w:rPr>
          <w:rFonts w:eastAsia="MS Mincho"/>
          <w:b/>
          <w:bCs/>
        </w:rPr>
        <w:t>ACHIEVEMENT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14:paraId="418460C3" w14:textId="77777777" w:rsidR="000115F6" w:rsidRDefault="000115F6" w:rsidP="000115F6">
      <w:pPr>
        <w:rPr>
          <w:rFonts w:eastAsia="MS Mincho"/>
        </w:rPr>
      </w:pPr>
    </w:p>
    <w:p w14:paraId="0E80F35B" w14:textId="77777777" w:rsidR="000115F6" w:rsidRDefault="000115F6" w:rsidP="000115F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0404ADB9" w14:textId="77777777" w:rsidR="000115F6" w:rsidRDefault="000115F6" w:rsidP="000115F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42894682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41505-</w:t>
      </w:r>
      <w:proofErr w:type="gramStart"/>
      <w:r>
        <w:rPr>
          <w:rFonts w:eastAsia="MS Mincho"/>
          <w:i/>
          <w:sz w:val="20"/>
        </w:rPr>
        <w:t>41508  Pupil</w:t>
      </w:r>
      <w:proofErr w:type="gramEnd"/>
      <w:r>
        <w:rPr>
          <w:rFonts w:eastAsia="MS Mincho"/>
          <w:i/>
          <w:sz w:val="20"/>
        </w:rPr>
        <w:t xml:space="preserve"> Retention Block Grant</w:t>
      </w:r>
    </w:p>
    <w:p w14:paraId="2762BAD3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48070  Promotion</w:t>
      </w:r>
      <w:proofErr w:type="gramEnd"/>
      <w:r>
        <w:rPr>
          <w:rFonts w:eastAsia="MS Mincho"/>
          <w:i/>
          <w:sz w:val="20"/>
        </w:rPr>
        <w:t xml:space="preserve"> and retention</w:t>
      </w:r>
    </w:p>
    <w:p w14:paraId="11A60314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48205  Excused</w:t>
      </w:r>
      <w:proofErr w:type="gramEnd"/>
      <w:r>
        <w:rPr>
          <w:rFonts w:eastAsia="MS Mincho"/>
          <w:i/>
          <w:sz w:val="20"/>
        </w:rPr>
        <w:t xml:space="preserve"> absences</w:t>
      </w:r>
    </w:p>
    <w:p w14:paraId="28D0C240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49066  Grades</w:t>
      </w:r>
      <w:proofErr w:type="gramEnd"/>
      <w:r>
        <w:rPr>
          <w:rFonts w:eastAsia="MS Mincho"/>
          <w:i/>
          <w:sz w:val="20"/>
        </w:rPr>
        <w:t>; finalization; physical education class</w:t>
      </w:r>
    </w:p>
    <w:p w14:paraId="6BB8DCA0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49067  Mandated</w:t>
      </w:r>
      <w:proofErr w:type="gramEnd"/>
      <w:r>
        <w:rPr>
          <w:rFonts w:eastAsia="MS Mincho"/>
          <w:i/>
          <w:sz w:val="20"/>
        </w:rPr>
        <w:t xml:space="preserve"> regulations regarding student’s achievement</w:t>
      </w:r>
    </w:p>
    <w:p w14:paraId="2DF4DBFD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49069.5  Students</w:t>
      </w:r>
      <w:proofErr w:type="gramEnd"/>
      <w:r>
        <w:rPr>
          <w:rFonts w:eastAsia="MS Mincho"/>
          <w:i/>
          <w:sz w:val="20"/>
        </w:rPr>
        <w:t xml:space="preserve"> in foster care, grades and credits</w:t>
      </w:r>
    </w:p>
    <w:p w14:paraId="25A8481C" w14:textId="77777777" w:rsidR="000115F6" w:rsidRDefault="000115F6" w:rsidP="000115F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43E333C9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10060  Criteria</w:t>
      </w:r>
      <w:proofErr w:type="gramEnd"/>
      <w:r>
        <w:rPr>
          <w:rFonts w:eastAsia="MS Mincho"/>
          <w:i/>
          <w:sz w:val="20"/>
        </w:rPr>
        <w:t xml:space="preserve"> for reporting physical education achievement, high schools</w:t>
      </w:r>
    </w:p>
    <w:p w14:paraId="7E468925" w14:textId="77777777" w:rsidR="000115F6" w:rsidRDefault="000115F6" w:rsidP="000115F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20</w:t>
      </w:r>
    </w:p>
    <w:p w14:paraId="73085C8E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1232</w:t>
      </w:r>
      <w:proofErr w:type="gramStart"/>
      <w:r>
        <w:rPr>
          <w:rFonts w:eastAsia="MS Mincho"/>
          <w:i/>
          <w:sz w:val="20"/>
        </w:rPr>
        <w:t>g  Family</w:t>
      </w:r>
      <w:proofErr w:type="gramEnd"/>
      <w:r>
        <w:rPr>
          <w:rFonts w:eastAsia="MS Mincho"/>
          <w:i/>
          <w:sz w:val="20"/>
        </w:rPr>
        <w:t xml:space="preserve"> Education Rights and Privacy Act (FERPA)</w:t>
      </w:r>
    </w:p>
    <w:p w14:paraId="22D3A734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6101-</w:t>
      </w:r>
      <w:proofErr w:type="gramStart"/>
      <w:r>
        <w:rPr>
          <w:rFonts w:eastAsia="MS Mincho"/>
          <w:i/>
          <w:sz w:val="20"/>
        </w:rPr>
        <w:t>6251  School</w:t>
      </w:r>
      <w:proofErr w:type="gramEnd"/>
      <w:r>
        <w:rPr>
          <w:rFonts w:eastAsia="MS Mincho"/>
          <w:i/>
          <w:sz w:val="20"/>
        </w:rPr>
        <w:t>-to-Work Opportunities Act of 1994</w:t>
      </w:r>
    </w:p>
    <w:p w14:paraId="2CC233DC" w14:textId="77777777" w:rsidR="000115F6" w:rsidRDefault="000115F6" w:rsidP="000115F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COURT DECISIONS</w:t>
      </w:r>
    </w:p>
    <w:p w14:paraId="314C3AB7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  <w:u w:val="single"/>
            </w:rPr>
            <w:t>Owasso</w:t>
          </w:r>
        </w:smartTag>
        <w:r>
          <w:rPr>
            <w:rFonts w:eastAsia="MS Mincho"/>
            <w:i/>
            <w:sz w:val="20"/>
            <w:u w:val="single"/>
          </w:rPr>
          <w:t xml:space="preserve"> </w:t>
        </w:r>
        <w:smartTag w:uri="urn:schemas-microsoft-com:office:smarttags" w:element="PlaceName">
          <w:r>
            <w:rPr>
              <w:rFonts w:eastAsia="MS Mincho"/>
              <w:i/>
              <w:sz w:val="20"/>
              <w:u w:val="single"/>
            </w:rPr>
            <w:t>Independent</w:t>
          </w:r>
        </w:smartTag>
        <w:r>
          <w:rPr>
            <w:rFonts w:eastAsia="MS Mincho"/>
            <w:i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  <w:u w:val="single"/>
            </w:rPr>
            <w:t>School District</w:t>
          </w:r>
        </w:smartTag>
      </w:smartTag>
      <w:r>
        <w:rPr>
          <w:rFonts w:eastAsia="MS Mincho"/>
          <w:i/>
          <w:sz w:val="20"/>
          <w:u w:val="single"/>
        </w:rPr>
        <w:t xml:space="preserve"> v. Falvo</w:t>
      </w:r>
      <w:r>
        <w:rPr>
          <w:rFonts w:eastAsia="MS Mincho"/>
          <w:i/>
          <w:sz w:val="20"/>
        </w:rPr>
        <w:t xml:space="preserve"> (2002) 122 </w:t>
      </w:r>
      <w:proofErr w:type="spellStart"/>
      <w:r>
        <w:rPr>
          <w:rFonts w:eastAsia="MS Mincho"/>
          <w:i/>
          <w:sz w:val="20"/>
        </w:rPr>
        <w:t>S.Ct</w:t>
      </w:r>
      <w:proofErr w:type="spellEnd"/>
      <w:r>
        <w:rPr>
          <w:rFonts w:eastAsia="MS Mincho"/>
          <w:i/>
          <w:sz w:val="20"/>
        </w:rPr>
        <w:t>. 934</w:t>
      </w:r>
    </w:p>
    <w:p w14:paraId="5475565F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 xml:space="preserve">Las </w:t>
      </w:r>
      <w:proofErr w:type="spellStart"/>
      <w:r>
        <w:rPr>
          <w:rFonts w:eastAsia="MS Mincho"/>
          <w:i/>
          <w:sz w:val="20"/>
          <w:u w:val="single"/>
        </w:rPr>
        <w:t>Virgenes</w:t>
      </w:r>
      <w:proofErr w:type="spellEnd"/>
      <w:r>
        <w:rPr>
          <w:rFonts w:eastAsia="MS Mincho"/>
          <w:i/>
          <w:sz w:val="20"/>
          <w:u w:val="single"/>
        </w:rPr>
        <w:t xml:space="preserve"> Educators Association v. Las </w:t>
      </w:r>
      <w:proofErr w:type="spellStart"/>
      <w:r>
        <w:rPr>
          <w:rFonts w:eastAsia="MS Mincho"/>
          <w:i/>
          <w:sz w:val="20"/>
          <w:u w:val="single"/>
        </w:rPr>
        <w:t>Virgenes</w:t>
      </w:r>
      <w:proofErr w:type="spellEnd"/>
      <w:r>
        <w:rPr>
          <w:rFonts w:eastAsia="MS Mincho"/>
          <w:i/>
          <w:sz w:val="20"/>
          <w:u w:val="single"/>
        </w:rPr>
        <w:t xml:space="preserve"> Unified </w:t>
      </w:r>
      <w:smartTag w:uri="urn:schemas-microsoft-com:office:smarttags" w:element="place">
        <w:r>
          <w:rPr>
            <w:rFonts w:eastAsia="MS Mincho"/>
            <w:i/>
            <w:sz w:val="20"/>
            <w:u w:val="single"/>
          </w:rPr>
          <w:t>School District</w:t>
        </w:r>
      </w:smartTag>
      <w:r>
        <w:rPr>
          <w:rFonts w:eastAsia="MS Mincho"/>
          <w:i/>
          <w:sz w:val="20"/>
        </w:rPr>
        <w:t xml:space="preserve"> (2nd Appellate District 2001) 86 Cal.App.4th 1</w:t>
      </w:r>
    </w:p>
    <w:p w14:paraId="347F56D3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proofErr w:type="spellStart"/>
      <w:r>
        <w:rPr>
          <w:rFonts w:eastAsia="MS Mincho"/>
          <w:i/>
          <w:sz w:val="20"/>
          <w:u w:val="single"/>
        </w:rPr>
        <w:t>Swany</w:t>
      </w:r>
      <w:proofErr w:type="spellEnd"/>
      <w:r>
        <w:rPr>
          <w:rFonts w:eastAsia="MS Mincho"/>
          <w:i/>
          <w:sz w:val="20"/>
          <w:u w:val="single"/>
        </w:rPr>
        <w:t xml:space="preserve"> v. </w:t>
      </w:r>
      <w:smartTag w:uri="urn:schemas:contacts" w:element="Sn">
        <w:r>
          <w:rPr>
            <w:rFonts w:eastAsia="MS Mincho"/>
            <w:i/>
            <w:sz w:val="20"/>
            <w:u w:val="single"/>
          </w:rPr>
          <w:t>San</w:t>
        </w:r>
      </w:smartTag>
      <w:r>
        <w:rPr>
          <w:rFonts w:eastAsia="MS Mincho"/>
          <w:i/>
          <w:sz w:val="20"/>
          <w:u w:val="single"/>
        </w:rPr>
        <w:t xml:space="preserve"> </w:t>
      </w:r>
      <w:smartTag w:uri="urn:schemas:contacts" w:element="middlename">
        <w:r>
          <w:rPr>
            <w:rFonts w:eastAsia="MS Mincho"/>
            <w:i/>
            <w:sz w:val="20"/>
            <w:u w:val="single"/>
          </w:rPr>
          <w:t>Ramon</w:t>
        </w:r>
      </w:smartTag>
      <w:r>
        <w:rPr>
          <w:rFonts w:eastAsia="MS Mincho"/>
          <w:i/>
          <w:sz w:val="20"/>
          <w:u w:val="single"/>
        </w:rPr>
        <w:t xml:space="preserve"> </w:t>
      </w:r>
      <w:smartTag w:uri="urn:schemas:contacts" w:element="Sn">
        <w:r>
          <w:rPr>
            <w:rFonts w:eastAsia="MS Mincho"/>
            <w:i/>
            <w:sz w:val="20"/>
            <w:u w:val="single"/>
          </w:rPr>
          <w:t>Valley</w:t>
        </w:r>
      </w:smartTag>
      <w:r>
        <w:rPr>
          <w:rFonts w:eastAsia="MS Mincho"/>
          <w:i/>
          <w:sz w:val="20"/>
          <w:u w:val="single"/>
        </w:rPr>
        <w:t xml:space="preserve"> Unified </w:t>
      </w:r>
      <w:smartTag w:uri="urn:schemas-microsoft-com:office:smarttags" w:element="place">
        <w:r>
          <w:rPr>
            <w:rFonts w:eastAsia="MS Mincho"/>
            <w:i/>
            <w:sz w:val="20"/>
            <w:u w:val="single"/>
          </w:rPr>
          <w:t xml:space="preserve">School </w:t>
        </w:r>
        <w:proofErr w:type="gramStart"/>
        <w:r>
          <w:rPr>
            <w:rFonts w:eastAsia="MS Mincho"/>
            <w:i/>
            <w:sz w:val="20"/>
            <w:u w:val="single"/>
          </w:rPr>
          <w:t>District</w:t>
        </w:r>
      </w:smartTag>
      <w:r>
        <w:rPr>
          <w:rFonts w:eastAsia="MS Mincho"/>
          <w:i/>
          <w:sz w:val="20"/>
        </w:rPr>
        <w:t xml:space="preserve">  (</w:t>
      </w:r>
      <w:proofErr w:type="spellStart"/>
      <w:proofErr w:type="gramEnd"/>
      <w:r>
        <w:rPr>
          <w:rFonts w:eastAsia="MS Mincho"/>
          <w:i/>
          <w:sz w:val="20"/>
        </w:rPr>
        <w:t>N.D.Cal</w:t>
      </w:r>
      <w:proofErr w:type="spellEnd"/>
      <w:r>
        <w:rPr>
          <w:rFonts w:eastAsia="MS Mincho"/>
          <w:i/>
          <w:sz w:val="20"/>
        </w:rPr>
        <w:t xml:space="preserve">. 1989) 720 </w:t>
      </w:r>
      <w:proofErr w:type="spellStart"/>
      <w:r>
        <w:rPr>
          <w:rFonts w:eastAsia="MS Mincho"/>
          <w:i/>
          <w:sz w:val="20"/>
        </w:rPr>
        <w:t>F.Supp</w:t>
      </w:r>
      <w:proofErr w:type="spellEnd"/>
      <w:r>
        <w:rPr>
          <w:rFonts w:eastAsia="MS Mincho"/>
          <w:i/>
          <w:sz w:val="20"/>
        </w:rPr>
        <w:t>. 764</w:t>
      </w:r>
    </w:p>
    <w:p w14:paraId="1432AE1A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Johnson v. Santa Monica-Malibu Unified School District Board of Education</w:t>
      </w:r>
      <w:r>
        <w:rPr>
          <w:rFonts w:eastAsia="MS Mincho"/>
          <w:i/>
          <w:sz w:val="20"/>
        </w:rPr>
        <w:t xml:space="preserve"> (App. 2 Dist. 1986) 224 Cal. </w:t>
      </w:r>
      <w:proofErr w:type="spellStart"/>
      <w:r>
        <w:rPr>
          <w:rFonts w:eastAsia="MS Mincho"/>
          <w:i/>
          <w:sz w:val="20"/>
        </w:rPr>
        <w:t>Rptr</w:t>
      </w:r>
      <w:proofErr w:type="spellEnd"/>
      <w:r>
        <w:rPr>
          <w:rFonts w:eastAsia="MS Mincho"/>
          <w:i/>
          <w:sz w:val="20"/>
        </w:rPr>
        <w:t>. 885, 179 C.A. 3d 593</w:t>
      </w:r>
    </w:p>
    <w:p w14:paraId="774DDFED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</w:p>
    <w:p w14:paraId="0194880E" w14:textId="77777777" w:rsidR="000115F6" w:rsidRDefault="000115F6" w:rsidP="000115F6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3A34256D" w14:textId="77777777" w:rsidR="000115F6" w:rsidRDefault="000115F6" w:rsidP="000115F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CDE PUBLICATIONS</w:t>
      </w:r>
    </w:p>
    <w:p w14:paraId="7D8CA41B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 xml:space="preserve">Elementary Makes the </w:t>
      </w:r>
      <w:proofErr w:type="gramStart"/>
      <w:r>
        <w:rPr>
          <w:rFonts w:eastAsia="MS Mincho"/>
          <w:i/>
          <w:sz w:val="20"/>
          <w:u w:val="single"/>
        </w:rPr>
        <w:t>Grade!</w:t>
      </w:r>
      <w:r>
        <w:rPr>
          <w:rFonts w:eastAsia="MS Mincho"/>
          <w:i/>
          <w:sz w:val="20"/>
        </w:rPr>
        <w:t>,</w:t>
      </w:r>
      <w:proofErr w:type="gramEnd"/>
      <w:r>
        <w:rPr>
          <w:rFonts w:eastAsia="MS Mincho"/>
          <w:i/>
          <w:sz w:val="20"/>
        </w:rPr>
        <w:t xml:space="preserve"> 2001</w:t>
      </w:r>
    </w:p>
    <w:p w14:paraId="17809F7D" w14:textId="77777777" w:rsidR="000115F6" w:rsidRDefault="000115F6" w:rsidP="000115F6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3C7345AB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CDE:  http://www.cde.ca.gov</w:t>
      </w:r>
    </w:p>
    <w:p w14:paraId="2D4480FF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Advanced Placement Challenge Project:  http://www.apchallenge.net</w:t>
      </w:r>
    </w:p>
    <w:p w14:paraId="3815823D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</w:p>
    <w:p w14:paraId="2C324291" w14:textId="77777777" w:rsidR="000115F6" w:rsidRDefault="000115F6" w:rsidP="000115F6">
      <w:pPr>
        <w:ind w:left="720"/>
        <w:jc w:val="left"/>
        <w:rPr>
          <w:rFonts w:eastAsia="MS Mincho"/>
          <w:i/>
          <w:sz w:val="20"/>
        </w:rPr>
      </w:pPr>
    </w:p>
    <w:p w14:paraId="1F307770" w14:textId="77777777" w:rsidR="000115F6" w:rsidRDefault="000115F6" w:rsidP="000115F6">
      <w:pPr>
        <w:rPr>
          <w:rFonts w:eastAsia="MS Mincho"/>
        </w:rPr>
      </w:pPr>
    </w:p>
    <w:p w14:paraId="2162D776" w14:textId="77777777" w:rsidR="000115F6" w:rsidRDefault="000115F6" w:rsidP="000115F6">
      <w:pPr>
        <w:rPr>
          <w:rFonts w:eastAsia="MS Mincho"/>
        </w:rPr>
      </w:pPr>
    </w:p>
    <w:p w14:paraId="67F08030" w14:textId="77777777" w:rsidR="000115F6" w:rsidRDefault="000115F6" w:rsidP="000115F6">
      <w:pPr>
        <w:rPr>
          <w:rFonts w:eastAsia="MS Mincho"/>
        </w:rPr>
      </w:pPr>
    </w:p>
    <w:p w14:paraId="1072A5BB" w14:textId="77777777" w:rsidR="000115F6" w:rsidRDefault="000115F6" w:rsidP="000115F6">
      <w:pPr>
        <w:rPr>
          <w:rFonts w:eastAsia="MS Mincho"/>
        </w:rPr>
      </w:pPr>
    </w:p>
    <w:p w14:paraId="194CA6D1" w14:textId="77777777" w:rsidR="000115F6" w:rsidRDefault="000115F6" w:rsidP="000115F6">
      <w:pPr>
        <w:rPr>
          <w:rFonts w:eastAsia="MS Mincho"/>
        </w:rPr>
      </w:pPr>
    </w:p>
    <w:p w14:paraId="2CA85607" w14:textId="77777777" w:rsidR="000115F6" w:rsidRDefault="000115F6" w:rsidP="000115F6">
      <w:pPr>
        <w:rPr>
          <w:rFonts w:eastAsia="MS Mincho"/>
        </w:rPr>
      </w:pPr>
    </w:p>
    <w:p w14:paraId="50F90390" w14:textId="77777777" w:rsidR="000115F6" w:rsidRDefault="000115F6" w:rsidP="000115F6">
      <w:pPr>
        <w:rPr>
          <w:rFonts w:eastAsia="MS Mincho"/>
        </w:rPr>
      </w:pPr>
    </w:p>
    <w:p w14:paraId="7C0A8DEA" w14:textId="77777777" w:rsidR="000115F6" w:rsidRDefault="000115F6" w:rsidP="000115F6">
      <w:pPr>
        <w:rPr>
          <w:rFonts w:eastAsia="MS Mincho"/>
        </w:rPr>
      </w:pPr>
    </w:p>
    <w:p w14:paraId="3BF34BB6" w14:textId="77777777" w:rsidR="000115F6" w:rsidRDefault="000115F6" w:rsidP="000115F6">
      <w:pPr>
        <w:rPr>
          <w:rFonts w:eastAsia="MS Mincho"/>
        </w:rPr>
      </w:pPr>
    </w:p>
    <w:p w14:paraId="760745AD" w14:textId="77777777" w:rsidR="000115F6" w:rsidRDefault="000115F6" w:rsidP="000115F6">
      <w:pPr>
        <w:rPr>
          <w:rFonts w:eastAsia="MS Mincho"/>
        </w:rPr>
      </w:pPr>
    </w:p>
    <w:p w14:paraId="43F8AB31" w14:textId="77777777" w:rsidR="000115F6" w:rsidRDefault="000115F6" w:rsidP="000115F6">
      <w:pPr>
        <w:rPr>
          <w:rFonts w:eastAsia="MS Mincho"/>
        </w:rPr>
      </w:pPr>
    </w:p>
    <w:p w14:paraId="799A9C9E" w14:textId="77777777" w:rsidR="000115F6" w:rsidRDefault="000115F6" w:rsidP="000115F6">
      <w:pPr>
        <w:rPr>
          <w:rFonts w:eastAsia="MS Mincho"/>
        </w:rPr>
      </w:pPr>
    </w:p>
    <w:p w14:paraId="6D59133E" w14:textId="77777777" w:rsidR="000115F6" w:rsidRDefault="000115F6" w:rsidP="000115F6">
      <w:pPr>
        <w:rPr>
          <w:rFonts w:eastAsia="MS Mincho"/>
        </w:rPr>
      </w:pPr>
    </w:p>
    <w:p w14:paraId="7FAC48C6" w14:textId="77777777" w:rsidR="000115F6" w:rsidRDefault="000115F6" w:rsidP="000115F6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15F6" w14:paraId="46261C1E" w14:textId="77777777" w:rsidTr="000115F6">
        <w:tc>
          <w:tcPr>
            <w:tcW w:w="4675" w:type="dxa"/>
          </w:tcPr>
          <w:p w14:paraId="24AB63DD" w14:textId="77777777" w:rsidR="000115F6" w:rsidRDefault="000115F6" w:rsidP="000115F6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4567ED33" w14:textId="31B2DB96" w:rsidR="000115F6" w:rsidRDefault="000115F6" w:rsidP="000115F6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August 28, 2008</w:t>
            </w:r>
          </w:p>
          <w:p w14:paraId="3B909938" w14:textId="2B9824A6" w:rsidR="000115F6" w:rsidRDefault="000115F6" w:rsidP="000115F6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1, 2024</w:t>
            </w:r>
          </w:p>
        </w:tc>
        <w:tc>
          <w:tcPr>
            <w:tcW w:w="4675" w:type="dxa"/>
          </w:tcPr>
          <w:p w14:paraId="570CD925" w14:textId="77777777" w:rsidR="000115F6" w:rsidRPr="000115F6" w:rsidRDefault="000115F6" w:rsidP="000115F6">
            <w:pPr>
              <w:jc w:val="right"/>
              <w:rPr>
                <w:rFonts w:eastAsia="MS Mincho"/>
                <w:b/>
                <w:bCs/>
              </w:rPr>
            </w:pPr>
            <w:r w:rsidRPr="000115F6">
              <w:rPr>
                <w:rFonts w:eastAsia="MS Mincho"/>
                <w:b/>
                <w:bCs/>
              </w:rPr>
              <w:t>COLLEGE AND CAREER ADVANTAGE</w:t>
            </w:r>
          </w:p>
          <w:p w14:paraId="3552D79B" w14:textId="441E80D8" w:rsidR="000115F6" w:rsidRDefault="000115F6" w:rsidP="000115F6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0F70D4F6" w14:textId="77777777" w:rsidR="000115F6" w:rsidRDefault="000115F6" w:rsidP="000115F6">
      <w:pPr>
        <w:rPr>
          <w:rFonts w:eastAsia="MS Mincho"/>
        </w:rPr>
      </w:pPr>
    </w:p>
    <w:sectPr w:rsidR="0001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F6"/>
    <w:rsid w:val="000115F6"/>
    <w:rsid w:val="000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:contacts" w:name="S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FFE4596"/>
  <w15:chartTrackingRefBased/>
  <w15:docId w15:val="{03EA8C6D-8AFC-4357-88FD-8CA413A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F6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5F6"/>
    <w:pPr>
      <w:keepNext/>
      <w:keepLines/>
      <w:tabs>
        <w:tab w:val="clear" w:pos="9000"/>
      </w:tabs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5F6"/>
    <w:pPr>
      <w:keepNext/>
      <w:keepLines/>
      <w:tabs>
        <w:tab w:val="clear" w:pos="9000"/>
      </w:tabs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5F6"/>
    <w:pPr>
      <w:keepNext/>
      <w:keepLines/>
      <w:tabs>
        <w:tab w:val="clear" w:pos="9000"/>
      </w:tabs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5F6"/>
    <w:pPr>
      <w:keepNext/>
      <w:keepLines/>
      <w:tabs>
        <w:tab w:val="clear" w:pos="9000"/>
      </w:tabs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5F6"/>
    <w:pPr>
      <w:keepNext/>
      <w:keepLines/>
      <w:tabs>
        <w:tab w:val="clear" w:pos="9000"/>
      </w:tabs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5F6"/>
    <w:pPr>
      <w:keepNext/>
      <w:keepLines/>
      <w:tabs>
        <w:tab w:val="clear" w:pos="9000"/>
      </w:tabs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5F6"/>
    <w:pPr>
      <w:keepNext/>
      <w:keepLines/>
      <w:tabs>
        <w:tab w:val="clear" w:pos="9000"/>
      </w:tabs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5F6"/>
    <w:pPr>
      <w:keepNext/>
      <w:keepLines/>
      <w:tabs>
        <w:tab w:val="clear" w:pos="9000"/>
      </w:tabs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5F6"/>
    <w:pPr>
      <w:keepNext/>
      <w:keepLines/>
      <w:tabs>
        <w:tab w:val="clear" w:pos="9000"/>
      </w:tabs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5F6"/>
    <w:pPr>
      <w:tabs>
        <w:tab w:val="clear" w:pos="9000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5F6"/>
    <w:pPr>
      <w:numPr>
        <w:ilvl w:val="1"/>
      </w:numPr>
      <w:tabs>
        <w:tab w:val="clear" w:pos="9000"/>
      </w:tabs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1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5F6"/>
    <w:pPr>
      <w:tabs>
        <w:tab w:val="clear" w:pos="9000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1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5F6"/>
    <w:pPr>
      <w:tabs>
        <w:tab w:val="clear" w:pos="900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1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000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5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2884</Characters>
  <Application>Microsoft Office Word</Application>
  <DocSecurity>0</DocSecurity>
  <Lines>24</Lines>
  <Paragraphs>6</Paragraphs>
  <ScaleCrop>false</ScaleCrop>
  <Company>Capistrano Unified School District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2024-01-26T17:37:00Z</dcterms:created>
  <dcterms:modified xsi:type="dcterms:W3CDTF">2024-01-26T17:47:00Z</dcterms:modified>
</cp:coreProperties>
</file>